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1"/>
        <w:jc w:val="center"/>
        <w:rPr>
          <w:sz w:val="28"/>
        </w:rPr>
      </w:pPr>
      <w:r>
        <w:rPr>
          <w:sz w:val="28"/>
          <w:szCs w:val="32"/>
        </w:rPr>
        <w:t xml:space="preserve">РОССИЙСКАЯ ФЕДЕРАЦИЯ</w:t>
      </w:r>
      <w:r>
        <w:rPr>
          <w:sz w:val="28"/>
          <w:szCs w:val="32"/>
        </w:rPr>
      </w:r>
      <w:r>
        <w:rPr>
          <w:sz w:val="28"/>
        </w:rPr>
      </w:r>
    </w:p>
    <w:p>
      <w:pPr>
        <w:pStyle w:val="421"/>
        <w:jc w:val="center"/>
        <w:rPr>
          <w:sz w:val="28"/>
        </w:rPr>
      </w:pPr>
      <w:r>
        <w:rPr>
          <w:sz w:val="28"/>
          <w:szCs w:val="32"/>
        </w:rPr>
        <w:t xml:space="preserve">СОВЕТ ДЕПУТАТОВ</w:t>
      </w:r>
      <w:r>
        <w:rPr>
          <w:sz w:val="28"/>
          <w:szCs w:val="32"/>
        </w:rPr>
      </w:r>
      <w:r>
        <w:rPr>
          <w:sz w:val="28"/>
        </w:rPr>
      </w:r>
    </w:p>
    <w:p>
      <w:pPr>
        <w:pStyle w:val="421"/>
        <w:jc w:val="center"/>
        <w:rPr>
          <w:sz w:val="28"/>
        </w:rPr>
      </w:pPr>
      <w:r>
        <w:rPr>
          <w:sz w:val="28"/>
          <w:szCs w:val="32"/>
        </w:rPr>
        <w:t xml:space="preserve">ГОРОДСКОГО ОКРУГА СЕРЕБРЯНЫЕ ПРУДЫ</w:t>
      </w:r>
      <w:r>
        <w:rPr>
          <w:sz w:val="28"/>
          <w:szCs w:val="32"/>
        </w:rPr>
      </w:r>
      <w:r>
        <w:rPr>
          <w:sz w:val="28"/>
        </w:rPr>
      </w:r>
    </w:p>
    <w:p>
      <w:pPr>
        <w:pStyle w:val="421"/>
        <w:jc w:val="center"/>
        <w:rPr>
          <w:sz w:val="28"/>
        </w:rPr>
      </w:pPr>
      <w:r>
        <w:rPr>
          <w:sz w:val="28"/>
          <w:szCs w:val="32"/>
        </w:rPr>
        <w:t xml:space="preserve">МОСКОВСКОЙ ОБЛАСТИ</w:t>
      </w:r>
      <w:r>
        <w:rPr>
          <w:sz w:val="28"/>
          <w:szCs w:val="32"/>
        </w:rPr>
      </w:r>
      <w:r>
        <w:rPr>
          <w:sz w:val="28"/>
        </w:rPr>
      </w:r>
    </w:p>
    <w:p>
      <w:pPr>
        <w:pStyle w:val="421"/>
        <w:jc w:val="center"/>
        <w:rPr>
          <w:sz w:val="28"/>
        </w:rPr>
      </w:pPr>
      <w:r>
        <w:rPr>
          <w:sz w:val="28"/>
          <w:szCs w:val="32"/>
        </w:rPr>
      </w:r>
      <w:r>
        <w:rPr>
          <w:sz w:val="28"/>
          <w:szCs w:val="32"/>
        </w:rPr>
      </w:r>
      <w:r>
        <w:rPr>
          <w:sz w:val="28"/>
        </w:rPr>
      </w:r>
    </w:p>
    <w:p>
      <w:pPr>
        <w:pStyle w:val="421"/>
        <w:jc w:val="center"/>
        <w:rPr>
          <w:sz w:val="28"/>
        </w:rPr>
      </w:pPr>
      <w:r>
        <w:rPr>
          <w:sz w:val="28"/>
          <w:szCs w:val="32"/>
        </w:rPr>
        <w:t xml:space="preserve">РЕШЕНИЕ</w:t>
      </w:r>
      <w:r>
        <w:rPr>
          <w:sz w:val="28"/>
          <w:szCs w:val="32"/>
        </w:rPr>
      </w:r>
      <w:r>
        <w:rPr>
          <w:sz w:val="28"/>
        </w:rPr>
      </w:r>
    </w:p>
    <w:p>
      <w:pPr>
        <w:pStyle w:val="421"/>
        <w:jc w:val="center"/>
        <w:rPr>
          <w:sz w:val="28"/>
        </w:rPr>
      </w:pPr>
      <w:r>
        <w:rPr>
          <w:sz w:val="28"/>
          <w:szCs w:val="32"/>
          <w:u w:val="single"/>
        </w:rPr>
        <w:t xml:space="preserve">от </w:t>
      </w:r>
      <w:r>
        <w:rPr>
          <w:sz w:val="28"/>
          <w:szCs w:val="32"/>
          <w:u w:val="single"/>
        </w:rPr>
        <w:t xml:space="preserve">25.12.2020г.</w:t>
      </w:r>
      <w:r>
        <w:rPr>
          <w:sz w:val="28"/>
          <w:szCs w:val="32"/>
        </w:rPr>
        <w:t xml:space="preserve">                                        </w:t>
      </w:r>
      <w:r>
        <w:rPr>
          <w:sz w:val="28"/>
          <w:szCs w:val="32"/>
          <w:u w:val="single"/>
        </w:rPr>
        <w:t xml:space="preserve">№ 594/69</w:t>
      </w:r>
      <w:r>
        <w:rPr>
          <w:sz w:val="28"/>
        </w:rPr>
      </w:r>
      <w:r>
        <w:rPr>
          <w:sz w:val="28"/>
        </w:rPr>
      </w:r>
    </w:p>
    <w:p>
      <w:pPr>
        <w:pStyle w:val="421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4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bCs/>
          <w:color w:val="000000"/>
          <w:sz w:val="26"/>
          <w:szCs w:val="26"/>
          <w:lang w:eastAsia="ru-RU"/>
        </w:rPr>
        <w:t xml:space="preserve">Об </w:t>
      </w:r>
      <w:r>
        <w:rPr>
          <w:bCs/>
          <w:color w:val="000000"/>
          <w:sz w:val="26"/>
          <w:szCs w:val="26"/>
          <w:lang w:eastAsia="ru-RU"/>
        </w:rPr>
        <w:t xml:space="preserve">утверждении</w:t>
      </w:r>
      <w:r>
        <w:rPr>
          <w:bCs/>
          <w:color w:val="000000"/>
          <w:sz w:val="26"/>
          <w:szCs w:val="26"/>
          <w:lang w:eastAsia="ru-RU"/>
        </w:rPr>
        <w:t xml:space="preserve"> Реестра муниципальной собственности </w:t>
      </w:r>
      <w:r>
        <w:rPr>
          <w:sz w:val="26"/>
          <w:szCs w:val="26"/>
        </w:rPr>
        <w:t xml:space="preserve">городского округа Серебряные Пруды Московской области</w:t>
      </w:r>
      <w:r>
        <w:rPr>
          <w:sz w:val="26"/>
          <w:szCs w:val="26"/>
        </w:rPr>
        <w:t xml:space="preserve">»</w:t>
      </w:r>
      <w:r>
        <w:rPr>
          <w:sz w:val="26"/>
        </w:rPr>
      </w:r>
    </w:p>
    <w:p>
      <w:pPr>
        <w:pStyle w:val="42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sz w:val="26"/>
        </w:rPr>
      </w:r>
    </w:p>
    <w:p>
      <w:pPr>
        <w:pStyle w:val="421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В соответствии с Федеральным законом от 06.10.2003</w:t>
      </w:r>
      <w:r>
        <w:rPr>
          <w:color w:val="000000"/>
          <w:sz w:val="26"/>
          <w:szCs w:val="26"/>
          <w:lang w:eastAsia="ru-RU"/>
        </w:rPr>
        <w:t xml:space="preserve">г</w:t>
      </w:r>
      <w:r>
        <w:rPr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</w:t>
      </w:r>
      <w:r>
        <w:rPr>
          <w:color w:val="000000"/>
          <w:sz w:val="26"/>
          <w:szCs w:val="26"/>
          <w:lang w:eastAsia="ru-RU"/>
        </w:rPr>
        <w:t xml:space="preserve">е</w:t>
      </w:r>
      <w:r>
        <w:rPr>
          <w:color w:val="000000"/>
          <w:sz w:val="26"/>
          <w:szCs w:val="26"/>
          <w:lang w:eastAsia="ru-RU"/>
        </w:rPr>
        <w:t xml:space="preserve">рации», </w:t>
      </w:r>
      <w:r>
        <w:rPr>
          <w:sz w:val="26"/>
          <w:szCs w:val="26"/>
        </w:rPr>
        <w:t xml:space="preserve">на основании решения Совета депутатов </w:t>
      </w:r>
      <w:r>
        <w:rPr>
          <w:sz w:val="26"/>
          <w:szCs w:val="26"/>
        </w:rPr>
        <w:t xml:space="preserve">городского округа Серебряные Пруды Московской области от 21.10.2020г №563/63</w:t>
      </w:r>
      <w:r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положения о порядке ведения реестра муниципальной собственности городского округа Серебряные Пруды Московской области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>
        <w:rPr>
          <w:color w:val="000000"/>
          <w:sz w:val="26"/>
          <w:szCs w:val="26"/>
          <w:lang w:eastAsia="ru-RU"/>
        </w:rPr>
        <w:t xml:space="preserve">Приказом министерства экономического развития Российской Фед</w:t>
      </w:r>
      <w:r>
        <w:rPr>
          <w:color w:val="000000"/>
          <w:sz w:val="26"/>
          <w:szCs w:val="26"/>
          <w:lang w:eastAsia="ru-RU"/>
        </w:rPr>
        <w:t xml:space="preserve">е</w:t>
      </w:r>
      <w:r>
        <w:rPr>
          <w:color w:val="000000"/>
          <w:sz w:val="26"/>
          <w:szCs w:val="26"/>
          <w:lang w:eastAsia="ru-RU"/>
        </w:rPr>
        <w:t xml:space="preserve">рации от 30.08.2011г. № 424 «Об утверждении порядка ведения органами местного самоуправления  реестров муниципального имущества»</w:t>
      </w:r>
      <w:r>
        <w:rPr>
          <w:color w:val="000000"/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 xml:space="preserve">Уставом муниципального образования </w:t>
      </w:r>
      <w:r>
        <w:rPr>
          <w:sz w:val="26"/>
          <w:szCs w:val="26"/>
        </w:rPr>
        <w:t xml:space="preserve">городской округ Серебряные Пруды Московской области </w:t>
      </w:r>
      <w:r>
        <w:rPr>
          <w:sz w:val="26"/>
          <w:szCs w:val="26"/>
        </w:rPr>
        <w:t xml:space="preserve">области,</w:t>
      </w:r>
      <w:r>
        <w:rPr>
          <w:sz w:val="26"/>
          <w:szCs w:val="26"/>
        </w:rPr>
        <w:t xml:space="preserve"> </w:t>
      </w:r>
      <w:r>
        <w:rPr>
          <w:sz w:val="26"/>
        </w:rPr>
      </w:r>
    </w:p>
    <w:p>
      <w:pPr>
        <w:pStyle w:val="42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</w:rPr>
      </w:r>
    </w:p>
    <w:p>
      <w:pPr>
        <w:pStyle w:val="4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Серебряные Пруды Московской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решил:</w:t>
      </w:r>
      <w:r>
        <w:rPr>
          <w:sz w:val="26"/>
        </w:rPr>
      </w:r>
    </w:p>
    <w:p>
      <w:pPr>
        <w:pStyle w:val="421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</w:rPr>
      </w:r>
    </w:p>
    <w:p>
      <w:pPr>
        <w:pStyle w:val="461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твердить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 Реестр муниципальной собственности </w:t>
      </w:r>
      <w:r>
        <w:rPr>
          <w:rFonts w:ascii="Times New Roman" w:hAnsi="Times New Roman"/>
          <w:sz w:val="26"/>
          <w:szCs w:val="28"/>
        </w:rPr>
        <w:t xml:space="preserve">городского округа Серебряные Пруды Московской области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согласно Приложению к настоящему Решению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.</w:t>
      </w:r>
      <w:r>
        <w:rPr>
          <w:sz w:val="26"/>
        </w:rPr>
      </w:r>
    </w:p>
    <w:p>
      <w:pPr>
        <w:pStyle w:val="461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Реестр муниципальной собственности городского округа Серебряные Пруды Московской области, утвержденный Решением Совета депутатов Серебряно-Прудского муниципального района Московской области от 15.12.2015г №647/65 </w:t>
      </w:r>
      <w:r>
        <w:rPr>
          <w:rFonts w:ascii="Times New Roman" w:hAnsi="Times New Roman" w:eastAsia="Times New Roman"/>
          <w:color w:val="000000"/>
          <w:sz w:val="26"/>
          <w:szCs w:val="28"/>
          <w:lang w:eastAsia="ru-RU"/>
        </w:rPr>
        <w:t xml:space="preserve">(</w:t>
      </w:r>
      <w:r>
        <w:rPr>
          <w:rFonts w:ascii="Times New Roman" w:hAnsi="Times New Roman"/>
          <w:color w:val="000000"/>
          <w:sz w:val="26"/>
          <w:szCs w:val="28"/>
        </w:rPr>
        <w:t xml:space="preserve">в ред</w:t>
      </w:r>
      <w:r>
        <w:rPr>
          <w:rFonts w:ascii="Times New Roman" w:hAnsi="Times New Roman"/>
          <w:color w:val="000000"/>
          <w:sz w:val="26"/>
          <w:szCs w:val="28"/>
        </w:rPr>
        <w:t xml:space="preserve">. Решений Совета депутатов городского округа Серебряные Пруды Московской области от 20.02.2016г № 732/72, от 25.04.2016г № 767/75, от 21.07.2016г № 818/79, от 13.09.2016 №838/82, от 24.10.2016г №854/85, от 23.11.2016г №875/88, от 29.05.2017г № 939/98, от 1</w:t>
      </w:r>
      <w:r>
        <w:rPr>
          <w:rFonts w:ascii="Times New Roman" w:hAnsi="Times New Roman"/>
          <w:color w:val="000000"/>
          <w:sz w:val="26"/>
          <w:szCs w:val="28"/>
        </w:rPr>
        <w:t xml:space="preserve">9.06.2017г №953/99, от 21.07.2017г №969/101, от 14.11.2017г №35/6, от 25.12.2017г №58/8, от 01.06.2018г №114/17, от 19.07.2018г №130/20, от 14.11.2018г №165/26, от 30.01.2019г №198/31, от 14.05.2019г №227/38, от 11.02.2020г №297/50, от 24.03.2020г №519/53)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 признать утратившим силу</w:t>
      </w:r>
      <w:r>
        <w:rPr>
          <w:sz w:val="26"/>
        </w:rPr>
      </w:r>
    </w:p>
    <w:p>
      <w:pPr>
        <w:pStyle w:val="461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Контроль за исполнение настоящего Решения возложить на главу городского округа Серебряные Пруды Московской области  О.В. Павлихина</w:t>
      </w:r>
      <w:r>
        <w:rPr>
          <w:rFonts w:ascii="Times New Roman" w:hAnsi="Times New Roman"/>
          <w:sz w:val="26"/>
          <w:szCs w:val="28"/>
        </w:rPr>
      </w:r>
      <w:r>
        <w:rPr>
          <w:sz w:val="26"/>
        </w:rPr>
      </w:r>
    </w:p>
    <w:p>
      <w:pPr>
        <w:pStyle w:val="461"/>
        <w:jc w:val="both"/>
        <w:spacing w:lineRule="auto" w:line="240"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  <w:r>
        <w:rPr>
          <w:sz w:val="26"/>
        </w:rPr>
      </w:r>
    </w:p>
    <w:p>
      <w:pPr>
        <w:pStyle w:val="461"/>
        <w:ind w:left="0" w:firstLine="567"/>
        <w:jc w:val="both"/>
        <w:spacing w:lineRule="auto" w:line="24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Председатель Совета депутатов</w:t>
      </w:r>
      <w:r>
        <w:rPr>
          <w:sz w:val="26"/>
        </w:rPr>
      </w:r>
    </w:p>
    <w:p>
      <w:pPr>
        <w:pStyle w:val="461"/>
        <w:ind w:left="0" w:firstLine="567"/>
        <w:jc w:val="both"/>
        <w:spacing w:lineRule="auto" w:line="24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городского округа                                                                                                В.В. Растегаев</w:t>
      </w:r>
      <w:r>
        <w:rPr>
          <w:sz w:val="26"/>
        </w:rPr>
      </w:r>
    </w:p>
    <w:p>
      <w:pPr>
        <w:pStyle w:val="461"/>
        <w:ind w:left="0" w:firstLine="567"/>
        <w:jc w:val="both"/>
        <w:spacing w:lineRule="auto" w:line="24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  <w:r>
        <w:rPr>
          <w:rFonts w:ascii="Times New Roman" w:hAnsi="Times New Roman"/>
          <w:sz w:val="26"/>
          <w:szCs w:val="28"/>
        </w:rPr>
      </w:r>
    </w:p>
    <w:p>
      <w:pPr>
        <w:pStyle w:val="461"/>
        <w:ind w:left="0" w:firstLine="567"/>
        <w:jc w:val="both"/>
        <w:spacing w:lineRule="auto" w:line="24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Глава городского округа                                                                                    О.В. Павлихин</w:t>
      </w:r>
      <w:r>
        <w:rPr>
          <w:rFonts w:ascii="Times New Roman" w:hAnsi="Times New Roman"/>
          <w:sz w:val="26"/>
          <w:szCs w:val="28"/>
        </w:rPr>
      </w:r>
    </w:p>
    <w:p>
      <w:pPr>
        <w:pStyle w:val="461"/>
        <w:ind w:left="0" w:firstLine="567"/>
        <w:jc w:val="both"/>
        <w:spacing w:lineRule="auto" w:line="24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  <w:r>
        <w:rPr>
          <w:rFonts w:ascii="Times New Roman" w:hAnsi="Times New Roman"/>
          <w:sz w:val="26"/>
          <w:szCs w:val="28"/>
        </w:rPr>
      </w:r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  <w:sectPr>
          <w:footerReference w:type="default" r:id="rId9"/>
          <w:footnotePr/>
          <w:endnotePr/>
          <w:type w:val="nextPage"/>
          <w:pgSz w:w="12240" w:h="15840" w:orient="portrait"/>
          <w:pgMar w:top="850" w:right="850" w:bottom="850" w:left="850" w:header="720" w:footer="720" w:gutter="0"/>
          <w:cols w:num="1" w:sep="0" w:space="720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4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/>
    </w:p>
    <w:p>
      <w:pPr>
        <w:pStyle w:val="4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</w:t>
      </w:r>
      <w:r/>
    </w:p>
    <w:p>
      <w:pPr>
        <w:pStyle w:val="4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Серебряные Пруды</w:t>
      </w:r>
      <w:r/>
    </w:p>
    <w:p>
      <w:pPr>
        <w:pStyle w:val="4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  <w:r/>
    </w:p>
    <w:p>
      <w:pPr>
        <w:pStyle w:val="421"/>
        <w:jc w:val="right"/>
      </w:pPr>
      <w:r>
        <w:rPr>
          <w:sz w:val="24"/>
          <w:szCs w:val="24"/>
        </w:rPr>
        <w:t xml:space="preserve">от 25.12.20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 года № 594/69</w:t>
      </w:r>
      <w:r/>
    </w:p>
    <w:p>
      <w:pPr>
        <w:pStyle w:val="421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42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РЕЕСТ</w:t>
      </w:r>
      <w:r/>
    </w:p>
    <w:p>
      <w:pPr>
        <w:pStyle w:val="42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МУНИЦИПАЛЬНОЙ СОБСТВЕННОСТИ</w:t>
      </w:r>
      <w:r/>
    </w:p>
    <w:p>
      <w:pPr>
        <w:pStyle w:val="42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ГОРОДСКОГО ОКРУГА СЕРЕБРЯНЫЕ ПРУДЫ</w:t>
      </w:r>
      <w:r/>
    </w:p>
    <w:p>
      <w:pPr>
        <w:pStyle w:val="42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МОСКОВСКОЙ ОБЛАСТИ</w:t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421"/>
        <w:rPr>
          <w:sz w:val="26"/>
          <w:szCs w:val="26"/>
        </w:rPr>
        <w:sectPr>
          <w:footnotePr/>
          <w:endnotePr/>
          <w:type w:val="nextPage"/>
          <w:pgSz w:w="15840" w:h="12240" w:orient="landscape"/>
          <w:pgMar w:top="1134" w:right="1134" w:bottom="851" w:left="1134" w:header="720" w:footer="720" w:gutter="0"/>
          <w:cols w:num="1" w:sep="0" w:space="720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4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Реестра муниципальной собственности городского округа Серебряные Пруды Московской области</w:t>
      </w:r>
      <w:r>
        <w:rPr>
          <w:sz w:val="28"/>
          <w:szCs w:val="28"/>
        </w:rPr>
      </w:r>
      <w:r/>
    </w:p>
    <w:p>
      <w:pPr>
        <w:pStyle w:val="42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№1. Недвижимое имущество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1.1. Муниципальный жилой фонд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1.2. Автомобильные дороги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1.3. Земельные участки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1.4. Объекты жилищно-коммунального хозяйства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1.5. Плотины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1.6. Колодцы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1.7. Мосты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1.8. Тротуары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1.9. Стоянки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1.10. Прочие объекты недвижимого имущества </w:t>
      </w:r>
      <w:r/>
    </w:p>
    <w:p>
      <w:pPr>
        <w:pStyle w:val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№2 Движимое имущество</w:t>
      </w:r>
      <w:r>
        <w:rPr>
          <w:sz w:val="24"/>
          <w:szCs w:val="24"/>
        </w:rPr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2.1. Транспортные средства и самоходные машины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2.2. Объекты электросетевого хозяйства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2.3. Многолетние зелёные насаждения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2.4. Объекты жилищно-коммунального хозяйства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2.5. Контейнерные площадки, объекты для ТБО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2.6. Детские площадки, спортивные площадки, уличное спотривно-игровое оборудование, малые архитектурные формы, элементы благоустройства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2.7. Прочие объекты движимого имущества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2.8. Акции акционерных обществ, доли (вклады) в уставных (складочных) капиталах хозяйственных обществ и товариществ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2.9. Иное имущество</w:t>
      </w:r>
      <w:r>
        <w:rPr>
          <w:bCs/>
          <w:color w:val="000000"/>
          <w:sz w:val="24"/>
          <w:szCs w:val="24"/>
          <w:lang w:eastAsia="ru-RU"/>
        </w:rPr>
        <w:t xml:space="preserve">,</w:t>
      </w:r>
      <w:r>
        <w:rPr>
          <w:bCs/>
          <w:color w:val="000000"/>
          <w:sz w:val="24"/>
          <w:szCs w:val="24"/>
          <w:lang w:eastAsia="ru-RU"/>
        </w:rPr>
        <w:t xml:space="preserve"> не относящееся к недвижимым и движимым вещам</w:t>
      </w:r>
      <w:r/>
    </w:p>
    <w:p>
      <w:pPr>
        <w:pStyle w:val="421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Раздел №3 </w:t>
      </w:r>
      <w:r>
        <w:rPr>
          <w:bCs/>
          <w:color w:val="000000"/>
          <w:sz w:val="28"/>
          <w:szCs w:val="28"/>
          <w:lang w:eastAsia="ru-RU"/>
        </w:rPr>
        <w:t xml:space="preserve">Сведения о муниципальных унитарных предприятиях, муници</w:t>
      </w:r>
      <w:r>
        <w:rPr>
          <w:bCs/>
          <w:color w:val="000000"/>
          <w:sz w:val="28"/>
          <w:szCs w:val="28"/>
          <w:lang w:eastAsia="ru-RU"/>
        </w:rPr>
        <w:t xml:space="preserve">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>
        <w:rPr>
          <w:bCs/>
          <w:color w:val="000000"/>
          <w:sz w:val="28"/>
          <w:szCs w:val="28"/>
          <w:lang w:eastAsia="ru-RU"/>
        </w:rPr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3.1. Сведения о муниципальных унитарных предприятиях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</w:t>
      </w:r>
      <w:r>
        <w:rPr>
          <w:bCs/>
          <w:color w:val="000000"/>
          <w:sz w:val="24"/>
          <w:szCs w:val="24"/>
          <w:lang w:eastAsia="ru-RU"/>
        </w:rPr>
        <w:t xml:space="preserve">здел 3.2. Сведения о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/>
    </w:p>
    <w:p>
      <w:pPr>
        <w:pStyle w:val="421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Подраздел 3.3. Сведения о муниципальных учреждениях</w:t>
      </w:r>
      <w:r/>
    </w:p>
    <w:p>
      <w:pPr>
        <w:pStyle w:val="421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  <w:r/>
    </w:p>
    <w:sectPr>
      <w:footnotePr/>
      <w:endnotePr/>
      <w:type w:val="nextPage"/>
      <w:pgSz w:w="15840" w:h="12240" w:orient="landscape"/>
      <w:pgMar w:top="1134" w:right="1134" w:bottom="85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Lucida Sans Unicode">
    <w:panose1 w:val="020B060203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22"/>
      <w:isLgl w:val="false"/>
      <w:suff w:val="nothing"/>
      <w:lvlText w:val=""/>
      <w:lvlJc w:val="left"/>
      <w:pPr>
        <w:pStyle w:val="4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21"/>
        <w:ind w:left="576" w:hanging="576"/>
        <w:tabs>
          <w:tab w:val="num" w:pos="0" w:leader="none"/>
        </w:tabs>
      </w:pPr>
    </w:lvl>
    <w:lvl w:ilvl="2">
      <w:start w:val="1"/>
      <w:numFmt w:val="decimal"/>
      <w:pStyle w:val="423"/>
      <w:isLgl w:val="false"/>
      <w:suff w:val="nothing"/>
      <w:lvlText w:val=""/>
      <w:lvlJc w:val="left"/>
      <w:pPr>
        <w:pStyle w:val="421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21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21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21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2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21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1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2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2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2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2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2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2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2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21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1"/>
        <w:ind w:left="1065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421"/>
        <w:ind w:left="1785" w:hanging="720"/>
      </w:pPr>
      <w:rPr>
        <w:rFonts w:ascii="Times New Roman" w:hAnsi="Times New Roman" w:eastAsia="Times New Roman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421"/>
        <w:ind w:left="214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21"/>
        <w:ind w:left="28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21"/>
        <w:ind w:left="322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21"/>
        <w:ind w:left="39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21"/>
        <w:ind w:left="466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21"/>
        <w:ind w:left="50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21"/>
        <w:ind w:left="5745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1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1"/>
        <w:ind w:left="4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1"/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1"/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1"/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1"/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1"/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1"/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1"/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1"/>
        <w:ind w:left="61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1">
    <w:name w:val="Обычный"/>
    <w:next w:val="421"/>
    <w:link w:val="421"/>
    <w:rPr>
      <w:lang w:val="ru-RU" w:bidi="ar-SA" w:eastAsia="zh-CN"/>
    </w:rPr>
  </w:style>
  <w:style w:type="paragraph" w:styleId="422">
    <w:name w:val="Заголовок 1"/>
    <w:basedOn w:val="421"/>
    <w:next w:val="421"/>
    <w:link w:val="421"/>
    <w:rPr>
      <w:sz w:val="28"/>
    </w:rPr>
    <w:pPr>
      <w:numPr>
        <w:ilvl w:val="0"/>
        <w:numId w:val="1"/>
      </w:numPr>
      <w:jc w:val="center"/>
      <w:keepNext/>
      <w:outlineLvl w:val="0"/>
    </w:pPr>
  </w:style>
  <w:style w:type="paragraph" w:styleId="423">
    <w:name w:val="Заголовок 3"/>
    <w:basedOn w:val="421"/>
    <w:next w:val="451"/>
    <w:link w:val="421"/>
    <w:rPr>
      <w:rFonts w:ascii="Cambria" w:hAnsi="Cambria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character" w:styleId="424">
    <w:name w:val="Основной шрифт абзаца"/>
    <w:next w:val="424"/>
    <w:link w:val="421"/>
    <w:semiHidden/>
  </w:style>
  <w:style w:type="table" w:styleId="425">
    <w:name w:val="Обычная таблица"/>
    <w:next w:val="425"/>
    <w:link w:val="421"/>
    <w:semiHidden/>
    <w:tblPr/>
  </w:style>
  <w:style w:type="numbering" w:styleId="426">
    <w:name w:val="Нет списка"/>
    <w:next w:val="426"/>
    <w:link w:val="421"/>
    <w:semiHidden/>
  </w:style>
  <w:style w:type="character" w:styleId="427">
    <w:name w:val="WW8Num1z0"/>
    <w:next w:val="427"/>
    <w:link w:val="421"/>
  </w:style>
  <w:style w:type="character" w:styleId="428">
    <w:name w:val="WW8Num1z1"/>
    <w:next w:val="428"/>
    <w:link w:val="421"/>
  </w:style>
  <w:style w:type="character" w:styleId="429">
    <w:name w:val="WW8Num1z2"/>
    <w:next w:val="429"/>
    <w:link w:val="421"/>
  </w:style>
  <w:style w:type="character" w:styleId="430">
    <w:name w:val="WW8Num1z3"/>
    <w:next w:val="430"/>
    <w:link w:val="421"/>
  </w:style>
  <w:style w:type="character" w:styleId="431">
    <w:name w:val="WW8Num1z4"/>
    <w:next w:val="431"/>
    <w:link w:val="421"/>
  </w:style>
  <w:style w:type="character" w:styleId="432">
    <w:name w:val="WW8Num1z5"/>
    <w:next w:val="432"/>
    <w:link w:val="421"/>
  </w:style>
  <w:style w:type="character" w:styleId="433">
    <w:name w:val="WW8Num1z6"/>
    <w:next w:val="433"/>
    <w:link w:val="421"/>
  </w:style>
  <w:style w:type="character" w:styleId="434">
    <w:name w:val="WW8Num1z7"/>
    <w:next w:val="434"/>
    <w:link w:val="421"/>
  </w:style>
  <w:style w:type="character" w:styleId="435">
    <w:name w:val="WW8Num1z8"/>
    <w:next w:val="435"/>
    <w:link w:val="421"/>
  </w:style>
  <w:style w:type="character" w:styleId="436">
    <w:name w:val="Absatz-Standardschriftart"/>
    <w:next w:val="436"/>
    <w:link w:val="421"/>
  </w:style>
  <w:style w:type="character" w:styleId="437">
    <w:name w:val="WW-Absatz-Standardschriftart"/>
    <w:next w:val="437"/>
    <w:link w:val="421"/>
  </w:style>
  <w:style w:type="character" w:styleId="438">
    <w:name w:val="WW-Absatz-Standardschriftart1"/>
    <w:next w:val="438"/>
    <w:link w:val="421"/>
  </w:style>
  <w:style w:type="character" w:styleId="439">
    <w:name w:val="WW-Absatz-Standardschriftart11"/>
    <w:next w:val="439"/>
    <w:link w:val="421"/>
  </w:style>
  <w:style w:type="character" w:styleId="440">
    <w:name w:val="WW-Absatz-Standardschriftart111"/>
    <w:next w:val="440"/>
    <w:link w:val="421"/>
  </w:style>
  <w:style w:type="character" w:styleId="441">
    <w:name w:val="WW-Absatz-Standardschriftart1111"/>
    <w:next w:val="441"/>
    <w:link w:val="421"/>
  </w:style>
  <w:style w:type="character" w:styleId="442">
    <w:name w:val="WW-Absatz-Standardschriftart11111"/>
    <w:next w:val="442"/>
    <w:link w:val="421"/>
  </w:style>
  <w:style w:type="character" w:styleId="443">
    <w:name w:val="WW-Absatz-Standardschriftart111111"/>
    <w:next w:val="443"/>
    <w:link w:val="421"/>
  </w:style>
  <w:style w:type="character" w:styleId="444">
    <w:name w:val="WW-Absatz-Standardschriftart1111111"/>
    <w:next w:val="444"/>
    <w:link w:val="421"/>
  </w:style>
  <w:style w:type="character" w:styleId="445">
    <w:name w:val="WW-Absatz-Standardschriftart11111111"/>
    <w:next w:val="445"/>
    <w:link w:val="421"/>
  </w:style>
  <w:style w:type="character" w:styleId="446">
    <w:name w:val="WW-Absatz-Standardschriftart111111111"/>
    <w:next w:val="446"/>
    <w:link w:val="421"/>
  </w:style>
  <w:style w:type="character" w:styleId="447">
    <w:name w:val="WW-Absatz-Standardschriftart1111111111"/>
    <w:next w:val="447"/>
    <w:link w:val="421"/>
  </w:style>
  <w:style w:type="character" w:styleId="448">
    <w:name w:val="Основной шрифт абзаца1"/>
    <w:next w:val="448"/>
    <w:link w:val="421"/>
  </w:style>
  <w:style w:type="character" w:styleId="449">
    <w:name w:val="Символ нумерации"/>
    <w:next w:val="449"/>
    <w:link w:val="421"/>
  </w:style>
  <w:style w:type="paragraph" w:styleId="450">
    <w:name w:val="Заголовок"/>
    <w:basedOn w:val="421"/>
    <w:next w:val="451"/>
    <w:link w:val="421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451">
    <w:name w:val="Основной текст"/>
    <w:basedOn w:val="421"/>
    <w:next w:val="451"/>
    <w:link w:val="421"/>
    <w:pPr>
      <w:spacing w:after="120" w:before="0"/>
    </w:pPr>
  </w:style>
  <w:style w:type="paragraph" w:styleId="452">
    <w:name w:val="Список"/>
    <w:basedOn w:val="451"/>
    <w:next w:val="452"/>
    <w:link w:val="421"/>
  </w:style>
  <w:style w:type="paragraph" w:styleId="453">
    <w:name w:val="Название объекта"/>
    <w:basedOn w:val="421"/>
    <w:next w:val="453"/>
    <w:link w:val="421"/>
    <w:rPr>
      <w:i/>
      <w:iCs/>
      <w:sz w:val="24"/>
      <w:szCs w:val="24"/>
    </w:rPr>
    <w:pPr>
      <w:spacing w:after="120" w:before="120"/>
    </w:pPr>
  </w:style>
  <w:style w:type="paragraph" w:styleId="454">
    <w:name w:val="Указатель1"/>
    <w:basedOn w:val="421"/>
    <w:next w:val="454"/>
    <w:link w:val="421"/>
  </w:style>
  <w:style w:type="paragraph" w:styleId="455">
    <w:name w:val="Название объекта1"/>
    <w:basedOn w:val="421"/>
    <w:next w:val="455"/>
    <w:link w:val="421"/>
    <w:rPr>
      <w:b/>
      <w:sz w:val="28"/>
    </w:rPr>
    <w:pPr>
      <w:jc w:val="center"/>
    </w:pPr>
  </w:style>
  <w:style w:type="paragraph" w:styleId="456">
    <w:name w:val="Текст выноски"/>
    <w:basedOn w:val="421"/>
    <w:next w:val="456"/>
    <w:link w:val="421"/>
    <w:rPr>
      <w:rFonts w:ascii="Tahoma" w:hAnsi="Tahoma"/>
      <w:sz w:val="16"/>
      <w:szCs w:val="16"/>
    </w:rPr>
  </w:style>
  <w:style w:type="paragraph" w:styleId="457">
    <w:name w:val="Содержимое таблицы"/>
    <w:basedOn w:val="421"/>
    <w:next w:val="457"/>
    <w:link w:val="421"/>
  </w:style>
  <w:style w:type="paragraph" w:styleId="458">
    <w:name w:val="Заголовок таблицы"/>
    <w:basedOn w:val="457"/>
    <w:next w:val="458"/>
    <w:link w:val="421"/>
    <w:rPr>
      <w:b/>
      <w:bCs/>
    </w:rPr>
    <w:pPr>
      <w:jc w:val="center"/>
    </w:pPr>
  </w:style>
  <w:style w:type="paragraph" w:styleId="459">
    <w:name w:val="List Paragraph"/>
    <w:basedOn w:val="421"/>
    <w:next w:val="459"/>
    <w:link w:val="421"/>
    <w:pPr>
      <w:ind w:left="720" w:right="0" w:firstLine="0"/>
    </w:pPr>
  </w:style>
  <w:style w:type="table" w:styleId="460">
    <w:name w:val="Сетка таблицы"/>
    <w:basedOn w:val="425"/>
    <w:next w:val="460"/>
    <w:link w:val="421"/>
    <w:tblPr/>
  </w:style>
  <w:style w:type="paragraph" w:styleId="461">
    <w:name w:val="Абзац списка"/>
    <w:basedOn w:val="421"/>
    <w:next w:val="461"/>
    <w:link w:val="421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998" w:default="1">
    <w:name w:val="Default Paragraph Font"/>
    <w:uiPriority w:val="1"/>
    <w:semiHidden/>
    <w:unhideWhenUsed/>
  </w:style>
  <w:style w:type="numbering" w:styleId="999" w:default="1">
    <w:name w:val="No List"/>
    <w:uiPriority w:val="99"/>
    <w:semiHidden/>
    <w:unhideWhenUsed/>
  </w:style>
  <w:style w:type="paragraph" w:styleId="1000" w:default="1">
    <w:name w:val="Normal"/>
    <w:qFormat/>
  </w:style>
  <w:style w:type="table" w:styleId="10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2020-12-30T08:05:36Z</dcterms:modified>
</cp:coreProperties>
</file>